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4D" w:rsidRPr="0043134D" w:rsidRDefault="0043134D" w:rsidP="0043134D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i/>
          <w:color w:val="444444"/>
          <w:sz w:val="40"/>
          <w:szCs w:val="40"/>
        </w:rPr>
      </w:pPr>
      <w:r w:rsidRPr="0043134D">
        <w:rPr>
          <w:bCs w:val="0"/>
          <w:i/>
          <w:color w:val="444444"/>
          <w:sz w:val="40"/>
          <w:szCs w:val="40"/>
        </w:rPr>
        <w:t>Средства обучения и воспитания ДОУ</w:t>
      </w:r>
    </w:p>
    <w:p w:rsid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43134D" w:rsidRP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Pr="0043134D">
        <w:rPr>
          <w:color w:val="444444"/>
          <w:sz w:val="28"/>
          <w:szCs w:val="28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43134D" w:rsidRP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</w:t>
      </w:r>
      <w:r w:rsidRPr="0043134D">
        <w:rPr>
          <w:b/>
          <w:bCs/>
          <w:color w:val="444444"/>
          <w:sz w:val="28"/>
          <w:szCs w:val="28"/>
        </w:rPr>
        <w:t>Средства обучения</w:t>
      </w:r>
      <w:r w:rsidRPr="0043134D">
        <w:rPr>
          <w:rStyle w:val="apple-converted-space"/>
          <w:color w:val="444444"/>
          <w:sz w:val="28"/>
          <w:szCs w:val="28"/>
        </w:rPr>
        <w:t> </w:t>
      </w:r>
      <w:r w:rsidRPr="0043134D">
        <w:rPr>
          <w:color w:val="444444"/>
          <w:sz w:val="28"/>
          <w:szCs w:val="28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43134D" w:rsidRP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  </w:t>
      </w:r>
      <w:r w:rsidRPr="0043134D">
        <w:rPr>
          <w:b/>
          <w:bCs/>
          <w:color w:val="444444"/>
          <w:sz w:val="28"/>
          <w:szCs w:val="28"/>
        </w:rPr>
        <w:t>Общепринятая современная типология подразделяет средства обучения на следующие виды:</w:t>
      </w:r>
    </w:p>
    <w:p w:rsidR="0043134D" w:rsidRPr="0043134D" w:rsidRDefault="0043134D" w:rsidP="004313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43134D" w:rsidRPr="0043134D" w:rsidRDefault="0043134D" w:rsidP="004313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 xml:space="preserve">электронные образовательные ресурсы (часто называемые образовательные мультимедиа </w:t>
      </w:r>
      <w:proofErr w:type="spellStart"/>
      <w:r w:rsidRPr="0043134D">
        <w:rPr>
          <w:rFonts w:ascii="Times New Roman" w:hAnsi="Times New Roman" w:cs="Times New Roman"/>
          <w:color w:val="444444"/>
          <w:sz w:val="28"/>
          <w:szCs w:val="28"/>
        </w:rPr>
        <w:t>мультимедийные</w:t>
      </w:r>
      <w:proofErr w:type="spellEnd"/>
      <w:r w:rsidRPr="0043134D">
        <w:rPr>
          <w:rFonts w:ascii="Times New Roman" w:hAnsi="Times New Roman" w:cs="Times New Roman"/>
          <w:color w:val="444444"/>
          <w:sz w:val="28"/>
          <w:szCs w:val="28"/>
        </w:rPr>
        <w:t xml:space="preserve"> учебники, сетевые образовательные ресурсы, </w:t>
      </w:r>
      <w:proofErr w:type="spellStart"/>
      <w:r w:rsidRPr="0043134D">
        <w:rPr>
          <w:rFonts w:ascii="Times New Roman" w:hAnsi="Times New Roman" w:cs="Times New Roman"/>
          <w:color w:val="444444"/>
          <w:sz w:val="28"/>
          <w:szCs w:val="28"/>
        </w:rPr>
        <w:t>мультимедийные</w:t>
      </w:r>
      <w:proofErr w:type="spellEnd"/>
      <w:r w:rsidRPr="0043134D">
        <w:rPr>
          <w:rFonts w:ascii="Times New Roman" w:hAnsi="Times New Roman" w:cs="Times New Roman"/>
          <w:color w:val="444444"/>
          <w:sz w:val="28"/>
          <w:szCs w:val="28"/>
        </w:rPr>
        <w:t xml:space="preserve"> универсальные энциклопедии и т.п.);</w:t>
      </w:r>
    </w:p>
    <w:p w:rsidR="0043134D" w:rsidRPr="0043134D" w:rsidRDefault="0043134D" w:rsidP="004313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 xml:space="preserve">аудиовизуальные (слайды, </w:t>
      </w:r>
      <w:proofErr w:type="spellStart"/>
      <w:proofErr w:type="gramStart"/>
      <w:r w:rsidRPr="0043134D">
        <w:rPr>
          <w:rFonts w:ascii="Times New Roman" w:hAnsi="Times New Roman" w:cs="Times New Roman"/>
          <w:color w:val="444444"/>
          <w:sz w:val="28"/>
          <w:szCs w:val="28"/>
        </w:rPr>
        <w:t>слайд-фильмы</w:t>
      </w:r>
      <w:proofErr w:type="spellEnd"/>
      <w:proofErr w:type="gramEnd"/>
      <w:r w:rsidRPr="0043134D">
        <w:rPr>
          <w:rFonts w:ascii="Times New Roman" w:hAnsi="Times New Roman" w:cs="Times New Roman"/>
          <w:color w:val="444444"/>
          <w:sz w:val="28"/>
          <w:szCs w:val="28"/>
        </w:rPr>
        <w:t>, видеофильмы образовательные, учебные кинофильмы, учебные фильмы на цифровых носителях;</w:t>
      </w:r>
    </w:p>
    <w:p w:rsidR="0043134D" w:rsidRPr="0043134D" w:rsidRDefault="0043134D" w:rsidP="004313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43134D" w:rsidRPr="0043134D" w:rsidRDefault="0043134D" w:rsidP="004313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>демонстрационные (гербарии, муляжи, макеты, стенды, модели в разрезе, модели демонстрационные);</w:t>
      </w:r>
    </w:p>
    <w:p w:rsidR="0043134D" w:rsidRPr="0043134D" w:rsidRDefault="0043134D" w:rsidP="004313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>учебные приборы (компас, барометр, колбы, и т.д.);</w:t>
      </w:r>
    </w:p>
    <w:p w:rsidR="0043134D" w:rsidRPr="0043134D" w:rsidRDefault="0043134D" w:rsidP="004313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43134D" w:rsidRP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3134D">
        <w:rPr>
          <w:color w:val="444444"/>
          <w:sz w:val="28"/>
          <w:szCs w:val="28"/>
        </w:rPr>
        <w:t>Также есть и иной подход к типологии средств обучения (</w:t>
      </w:r>
      <w:proofErr w:type="spellStart"/>
      <w:r w:rsidRPr="0043134D">
        <w:rPr>
          <w:color w:val="444444"/>
          <w:sz w:val="28"/>
          <w:szCs w:val="28"/>
        </w:rPr>
        <w:t>Пидкасистый</w:t>
      </w:r>
      <w:proofErr w:type="spellEnd"/>
      <w:r w:rsidRPr="0043134D">
        <w:rPr>
          <w:color w:val="444444"/>
          <w:sz w:val="28"/>
          <w:szCs w:val="28"/>
        </w:rPr>
        <w:t xml:space="preserve"> П.И.). Он, в частности, разделяет средства обучения </w:t>
      </w:r>
      <w:proofErr w:type="gramStart"/>
      <w:r w:rsidRPr="0043134D">
        <w:rPr>
          <w:color w:val="444444"/>
          <w:sz w:val="28"/>
          <w:szCs w:val="28"/>
        </w:rPr>
        <w:t>на</w:t>
      </w:r>
      <w:proofErr w:type="gramEnd"/>
      <w:r w:rsidRPr="0043134D">
        <w:rPr>
          <w:color w:val="444444"/>
          <w:sz w:val="28"/>
          <w:szCs w:val="28"/>
        </w:rPr>
        <w:t xml:space="preserve"> материальные и идеальные.</w:t>
      </w:r>
    </w:p>
    <w:p w:rsidR="0043134D" w:rsidRP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 </w:t>
      </w:r>
      <w:r w:rsidRPr="0043134D">
        <w:rPr>
          <w:b/>
          <w:bCs/>
          <w:color w:val="444444"/>
          <w:sz w:val="28"/>
          <w:szCs w:val="28"/>
        </w:rPr>
        <w:t>Идеальные средства обучения</w:t>
      </w:r>
      <w:r w:rsidRPr="0043134D">
        <w:rPr>
          <w:rStyle w:val="apple-converted-space"/>
          <w:color w:val="444444"/>
          <w:sz w:val="28"/>
          <w:szCs w:val="28"/>
        </w:rPr>
        <w:t> </w:t>
      </w:r>
      <w:r w:rsidRPr="0043134D">
        <w:rPr>
          <w:color w:val="444444"/>
          <w:sz w:val="28"/>
          <w:szCs w:val="28"/>
        </w:rPr>
        <w:t>– это те усвоенные ранее знания и умения, которые используют педагоги и дети для усвоения новых знаний.</w:t>
      </w:r>
    </w:p>
    <w:p w:rsidR="0043134D" w:rsidRP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</w:t>
      </w:r>
      <w:r w:rsidRPr="0043134D">
        <w:rPr>
          <w:b/>
          <w:bCs/>
          <w:color w:val="444444"/>
          <w:sz w:val="28"/>
          <w:szCs w:val="28"/>
        </w:rPr>
        <w:t>Материальные средства обучения</w:t>
      </w:r>
      <w:r w:rsidRPr="0043134D">
        <w:rPr>
          <w:rStyle w:val="apple-converted-space"/>
          <w:color w:val="444444"/>
          <w:sz w:val="28"/>
          <w:szCs w:val="28"/>
        </w:rPr>
        <w:t> </w:t>
      </w:r>
      <w:r w:rsidRPr="0043134D">
        <w:rPr>
          <w:color w:val="444444"/>
          <w:sz w:val="28"/>
          <w:szCs w:val="28"/>
        </w:rPr>
        <w:t>– это физические объекты, которые используют педагоги и дети для детализированного обучения.</w:t>
      </w:r>
    </w:p>
    <w:p w:rsidR="0043134D" w:rsidRP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3134D">
        <w:rPr>
          <w:color w:val="444444"/>
          <w:sz w:val="28"/>
          <w:szCs w:val="28"/>
        </w:rPr>
        <w:t>Наглядные пособия классифицируются на три группы:</w:t>
      </w:r>
    </w:p>
    <w:p w:rsidR="0043134D" w:rsidRPr="0043134D" w:rsidRDefault="0043134D" w:rsidP="00431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>объемные пособия (модели, коллекции, приборы, аппараты и т.п.);</w:t>
      </w:r>
    </w:p>
    <w:p w:rsidR="0043134D" w:rsidRPr="0043134D" w:rsidRDefault="0043134D" w:rsidP="00431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>печатные пособия (картины, плакаты, графики, таблицы, учебники)</w:t>
      </w:r>
    </w:p>
    <w:p w:rsidR="0043134D" w:rsidRPr="0043134D" w:rsidRDefault="0043134D" w:rsidP="00431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>проекционный материал (кинофильмы, видеофильмы, слайды и т.п.)</w:t>
      </w:r>
    </w:p>
    <w:p w:rsidR="0043134D" w:rsidRP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3134D">
        <w:rPr>
          <w:color w:val="444444"/>
          <w:sz w:val="28"/>
          <w:szCs w:val="28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43134D">
        <w:rPr>
          <w:color w:val="444444"/>
          <w:sz w:val="28"/>
          <w:szCs w:val="28"/>
        </w:rPr>
        <w:t>мультимедийные</w:t>
      </w:r>
      <w:proofErr w:type="spellEnd"/>
      <w:r w:rsidRPr="0043134D">
        <w:rPr>
          <w:color w:val="444444"/>
          <w:sz w:val="28"/>
          <w:szCs w:val="28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43134D" w:rsidRP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3134D">
        <w:rPr>
          <w:color w:val="444444"/>
          <w:sz w:val="28"/>
          <w:szCs w:val="28"/>
        </w:rPr>
        <w:lastRenderedPageBreak/>
        <w:t>Принципы использования средств обучения:</w:t>
      </w:r>
    </w:p>
    <w:p w:rsidR="0043134D" w:rsidRPr="0043134D" w:rsidRDefault="0043134D" w:rsidP="004313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>учет возрастных и психологических особенностей обучающихся;</w:t>
      </w:r>
    </w:p>
    <w:p w:rsidR="0043134D" w:rsidRPr="0043134D" w:rsidRDefault="0043134D" w:rsidP="004313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43134D">
        <w:rPr>
          <w:rFonts w:ascii="Times New Roman" w:hAnsi="Times New Roman" w:cs="Times New Roman"/>
          <w:color w:val="444444"/>
          <w:sz w:val="28"/>
          <w:szCs w:val="28"/>
        </w:rPr>
        <w:t>аудиальную</w:t>
      </w:r>
      <w:proofErr w:type="spellEnd"/>
      <w:r w:rsidRPr="0043134D">
        <w:rPr>
          <w:rFonts w:ascii="Times New Roman" w:hAnsi="Times New Roman" w:cs="Times New Roman"/>
          <w:color w:val="444444"/>
          <w:sz w:val="28"/>
          <w:szCs w:val="28"/>
        </w:rPr>
        <w:t>, кинестетическую системы восприятия в образовательных целях;</w:t>
      </w:r>
    </w:p>
    <w:p w:rsidR="0043134D" w:rsidRPr="0043134D" w:rsidRDefault="0043134D" w:rsidP="004313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>учет дидактических целей и принципов дидактики (принципа наглядности, доступности и т.д.);</w:t>
      </w:r>
    </w:p>
    <w:p w:rsidR="0043134D" w:rsidRPr="0043134D" w:rsidRDefault="0043134D" w:rsidP="004313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>сотворчество педагога и обучающегося;</w:t>
      </w:r>
    </w:p>
    <w:p w:rsidR="0043134D" w:rsidRPr="0043134D" w:rsidRDefault="0043134D" w:rsidP="004313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3134D">
        <w:rPr>
          <w:rFonts w:ascii="Times New Roman" w:hAnsi="Times New Roman" w:cs="Times New Roman"/>
          <w:color w:val="444444"/>
          <w:sz w:val="28"/>
          <w:szCs w:val="28"/>
        </w:rPr>
        <w:t>приоритет правил безопасности в использовании средств обучения.</w:t>
      </w:r>
    </w:p>
    <w:p w:rsid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</w:p>
    <w:p w:rsidR="0043134D" w:rsidRP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Pr="0043134D">
        <w:rPr>
          <w:color w:val="444444"/>
          <w:sz w:val="28"/>
          <w:szCs w:val="28"/>
        </w:rPr>
        <w:t xml:space="preserve">Средства обучения и воспитания, используемые в </w:t>
      </w:r>
      <w:r>
        <w:rPr>
          <w:color w:val="444444"/>
          <w:sz w:val="28"/>
          <w:szCs w:val="28"/>
        </w:rPr>
        <w:t>МБЛОУ ДС «Парус» г</w:t>
      </w:r>
      <w:proofErr w:type="gramStart"/>
      <w:r>
        <w:rPr>
          <w:color w:val="444444"/>
          <w:sz w:val="28"/>
          <w:szCs w:val="28"/>
        </w:rPr>
        <w:t>.В</w:t>
      </w:r>
      <w:proofErr w:type="gramEnd"/>
      <w:r>
        <w:rPr>
          <w:color w:val="444444"/>
          <w:sz w:val="28"/>
          <w:szCs w:val="28"/>
        </w:rPr>
        <w:t xml:space="preserve">олгодонска </w:t>
      </w:r>
      <w:r w:rsidRPr="0043134D">
        <w:rPr>
          <w:color w:val="444444"/>
          <w:sz w:val="28"/>
          <w:szCs w:val="28"/>
        </w:rPr>
        <w:t>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43134D" w:rsidRP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Pr="0043134D">
        <w:rPr>
          <w:color w:val="444444"/>
          <w:sz w:val="28"/>
          <w:szCs w:val="28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</w:t>
      </w:r>
      <w:r>
        <w:rPr>
          <w:color w:val="444444"/>
          <w:sz w:val="28"/>
          <w:szCs w:val="28"/>
        </w:rPr>
        <w:t xml:space="preserve">спитанников не только в рамках </w:t>
      </w:r>
      <w:r w:rsidRPr="0043134D">
        <w:rPr>
          <w:color w:val="444444"/>
          <w:sz w:val="28"/>
          <w:szCs w:val="28"/>
        </w:rPr>
        <w:t>НОД по освоению Программы, но и при проведении режимных моментов.</w:t>
      </w:r>
    </w:p>
    <w:p w:rsidR="0043134D" w:rsidRP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Pr="0043134D">
        <w:rPr>
          <w:color w:val="444444"/>
          <w:sz w:val="28"/>
          <w:szCs w:val="28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43134D" w:rsidRPr="0043134D" w:rsidRDefault="0043134D" w:rsidP="0043134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Pr="0043134D">
        <w:rPr>
          <w:color w:val="444444"/>
          <w:sz w:val="28"/>
          <w:szCs w:val="28"/>
        </w:rPr>
        <w:t xml:space="preserve">Оборудование отвечает санитарно-эпидемиологическим нормам, гигиеническим, педагогическим и эстетическим требованиям. </w:t>
      </w:r>
    </w:p>
    <w:tbl>
      <w:tblPr>
        <w:tblW w:w="0" w:type="auto"/>
        <w:jc w:val="center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58"/>
        <w:gridCol w:w="6837"/>
      </w:tblGrid>
      <w:tr w:rsidR="0043134D" w:rsidRPr="0043134D" w:rsidTr="00393221">
        <w:trPr>
          <w:tblCellSpacing w:w="3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134D" w:rsidRP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134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34D" w:rsidRP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134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Материально-техническое и</w:t>
            </w:r>
            <w:r w:rsidRPr="0043134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br/>
              <w:t>учебно-материальное обеспечение</w:t>
            </w:r>
          </w:p>
        </w:tc>
      </w:tr>
      <w:tr w:rsidR="0043134D" w:rsidRPr="0043134D" w:rsidTr="00393221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43134D" w:rsidRP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43134D" w:rsidRP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коврики массажные, </w:t>
            </w:r>
            <w:proofErr w:type="spellStart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мешочки для равновесия, скакалки детские, канат для </w:t>
            </w:r>
            <w:proofErr w:type="spellStart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перетягивания</w:t>
            </w:r>
            <w:proofErr w:type="spellEnd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флажки разноцветные, ленты.</w:t>
            </w:r>
            <w:proofErr w:type="gramEnd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Набор предметных карточек «Предметы гигиены».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Набор предметных карточек «Мое тело», «Режим дня».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Наглядное методическое пособие </w:t>
            </w:r>
            <w:proofErr w:type="gramStart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плакаты, схемы).</w:t>
            </w:r>
          </w:p>
        </w:tc>
      </w:tr>
      <w:tr w:rsidR="0043134D" w:rsidRPr="0043134D" w:rsidTr="00393221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43134D" w:rsidRP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0" w:type="auto"/>
            <w:shd w:val="clear" w:color="auto" w:fill="ECECEC"/>
            <w:hideMark/>
          </w:tcPr>
          <w:p w:rsid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Набор демонстрационных картин «Правила пожарной безопасности».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Набор предметных карточек «Транспорт».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Наборы сюжетных картинок «Дорожная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азбука», «Уроки безопасности».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Набор предметных ка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рточек «Профессии», «Символика»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Дидактические пособия, печат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ные пособия (картины, плакаты).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Наборы игруш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ечной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посуды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</w:t>
            </w:r>
            <w:proofErr w:type="gramEnd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аборы</w:t>
            </w:r>
            <w:proofErr w:type="spellEnd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парикмахера.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Наборы медиц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инских игровых принадлежностей.</w:t>
            </w:r>
          </w:p>
          <w:p w:rsidR="0043134D" w:rsidRP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Игровой модуль «Кухня»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</w:t>
            </w:r>
            <w:proofErr w:type="gramEnd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гровой модуль «Парикмахерская».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Оборудование для трудовой деятельности (совочки, грабельки, палочки, лейки пластмассовые детские)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Природный материал и брос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овый материал для ручного труда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Картины, плакаты «Профессии», «Кем быть», «Государственные символы России» и др.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Книги, энциклопедии, тематические книги.</w:t>
            </w:r>
          </w:p>
        </w:tc>
      </w:tr>
      <w:tr w:rsidR="0043134D" w:rsidRPr="0043134D" w:rsidTr="00393221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43134D" w:rsidRP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43134D" w:rsidRP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Макеты «Государственных символов России».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Географические карты, атласы, хрестоматии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Учебные приборы (микроскоп, колб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ы, песочные часы, компас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). 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а», «Насекомые», «Земноводные»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ерия 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демонстрационн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ых сюжетных тематических картин 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«Дикие Животные», «Домашние животные» «Мир животных», «Домашние птицы», «Птицы», «Времена года».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Домино с цветными изображениями, шнуровки различного уровня сложности, игрушки-персонажи, 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Мозаика с плоскостными элементами различных геометрических форм, дидактические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игры «Цвет», «Форма», «Фигуры». 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43134D" w:rsidRPr="0043134D" w:rsidTr="00393221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43134D" w:rsidRP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shd w:val="clear" w:color="auto" w:fill="ECECEC"/>
            <w:hideMark/>
          </w:tcPr>
          <w:p w:rsidR="0043134D" w:rsidRP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Набор сюжетных карточек по темам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Предметные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игрушки-персонажи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</w:t>
            </w:r>
            <w:proofErr w:type="gramEnd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южетные</w:t>
            </w:r>
            <w:proofErr w:type="spellEnd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картины «Наши игрушки», «Мы играем», «Звучащее слово».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Методическая литература (рабо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чие тетради, хрестоматии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). 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Обучающие </w:t>
            </w:r>
            <w:proofErr w:type="spellStart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пазлы</w:t>
            </w:r>
            <w:proofErr w:type="spellEnd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«Учимся читать», «Азбука», «Развиваем речь, мышление и мелкую моторику», домино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др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</w:tr>
      <w:tr w:rsidR="0043134D" w:rsidRPr="0043134D" w:rsidTr="00393221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43134D" w:rsidRP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-э</w:t>
            </w:r>
            <w:proofErr w:type="gramEnd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стетическое 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proofErr w:type="gramStart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 лепки, аппликации, рисования.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очка щетинная, пластилин, доска для работы с пластилином.</w:t>
            </w:r>
            <w:proofErr w:type="gramEnd"/>
          </w:p>
          <w:p w:rsid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абан,  погремушки), металлофон.</w:t>
            </w:r>
            <w:proofErr w:type="gramEnd"/>
          </w:p>
          <w:p w:rsidR="0043134D" w:rsidRP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43134D" w:rsidRPr="0043134D" w:rsidTr="00393221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43134D" w:rsidRPr="0043134D" w:rsidRDefault="0043134D" w:rsidP="0043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Технические средства обучения</w:t>
            </w:r>
          </w:p>
        </w:tc>
        <w:tc>
          <w:tcPr>
            <w:tcW w:w="0" w:type="auto"/>
            <w:shd w:val="clear" w:color="auto" w:fill="ECECEC"/>
            <w:hideMark/>
          </w:tcPr>
          <w:p w:rsidR="0043134D" w:rsidRPr="0043134D" w:rsidRDefault="0043134D" w:rsidP="0041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Магнитофон, компьютер, ноутбук</w:t>
            </w:r>
            <w:r w:rsidR="004159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музыкальный центр, телевизор. 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Носители информации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</w:t>
            </w:r>
            <w:proofErr w:type="gramStart"/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D</w:t>
            </w:r>
            <w:proofErr w:type="gramEnd"/>
            <w:r w:rsidR="004159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тематические презентации, ц</w:t>
            </w:r>
            <w:r w:rsidRPr="004313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ифровые музыкальные </w:t>
            </w:r>
            <w:r w:rsidR="004159A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аудиозаписи и др.</w:t>
            </w:r>
          </w:p>
        </w:tc>
      </w:tr>
    </w:tbl>
    <w:p w:rsidR="0043134D" w:rsidRPr="0043134D" w:rsidRDefault="0043134D" w:rsidP="00431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1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A3297" w:rsidRPr="001A3297" w:rsidRDefault="001A3297" w:rsidP="001A3297">
      <w:pPr>
        <w:spacing w:before="180" w:after="180" w:line="292" w:lineRule="atLeast"/>
        <w:jc w:val="both"/>
        <w:textAlignment w:val="top"/>
        <w:rPr>
          <w:rFonts w:ascii="Times New Roman" w:eastAsia="Times New Roman" w:hAnsi="Times New Roman" w:cs="Times New Roman"/>
          <w:iCs/>
          <w:color w:val="242C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242C2E"/>
          <w:sz w:val="28"/>
          <w:szCs w:val="28"/>
          <w:shd w:val="clear" w:color="auto" w:fill="FFFFFF"/>
          <w:lang w:eastAsia="ru-RU"/>
        </w:rPr>
        <w:t xml:space="preserve">     </w:t>
      </w:r>
      <w:r w:rsidRPr="001A3297">
        <w:rPr>
          <w:rFonts w:ascii="Times New Roman" w:eastAsia="Times New Roman" w:hAnsi="Times New Roman" w:cs="Times New Roman"/>
          <w:iCs/>
          <w:color w:val="242C2E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iCs/>
          <w:color w:val="242C2E"/>
          <w:sz w:val="28"/>
          <w:szCs w:val="28"/>
          <w:shd w:val="clear" w:color="auto" w:fill="FFFFFF"/>
          <w:lang w:eastAsia="ru-RU"/>
        </w:rPr>
        <w:t xml:space="preserve"> всестороннего развития детей  </w:t>
      </w:r>
      <w:r w:rsidRPr="001A3297">
        <w:rPr>
          <w:rFonts w:ascii="Times New Roman" w:eastAsia="Times New Roman" w:hAnsi="Times New Roman" w:cs="Times New Roman"/>
          <w:iCs/>
          <w:color w:val="242C2E"/>
          <w:sz w:val="28"/>
          <w:szCs w:val="28"/>
          <w:shd w:val="clear" w:color="auto" w:fill="FFFFFF"/>
          <w:lang w:eastAsia="ru-RU"/>
        </w:rPr>
        <w:t>создана</w:t>
      </w:r>
      <w:r>
        <w:rPr>
          <w:rFonts w:ascii="Times New Roman" w:eastAsia="Times New Roman" w:hAnsi="Times New Roman" w:cs="Times New Roman"/>
          <w:iCs/>
          <w:color w:val="242C2E"/>
          <w:sz w:val="28"/>
          <w:szCs w:val="28"/>
          <w:shd w:val="clear" w:color="auto" w:fill="FFFFFF"/>
          <w:lang w:eastAsia="ru-RU"/>
        </w:rPr>
        <w:t xml:space="preserve"> </w:t>
      </w:r>
      <w:r w:rsidRPr="001A3297">
        <w:rPr>
          <w:rFonts w:ascii="Times New Roman" w:eastAsia="Times New Roman" w:hAnsi="Times New Roman" w:cs="Times New Roman"/>
          <w:iCs/>
          <w:color w:val="242C2E"/>
          <w:sz w:val="28"/>
          <w:szCs w:val="28"/>
          <w:shd w:val="clear" w:color="auto" w:fill="FFFFFF"/>
          <w:lang w:eastAsia="ru-RU"/>
        </w:rPr>
        <w:t xml:space="preserve"> развивающая среда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1A3297" w:rsidRPr="001A3297" w:rsidRDefault="001A3297" w:rsidP="001A3297">
      <w:pPr>
        <w:spacing w:before="180" w:after="180" w:line="292" w:lineRule="atLeast"/>
        <w:jc w:val="both"/>
        <w:textAlignment w:val="top"/>
        <w:rPr>
          <w:rFonts w:ascii="Times New Roman" w:eastAsia="Times New Roman" w:hAnsi="Times New Roman" w:cs="Times New Roman"/>
          <w:iCs/>
          <w:color w:val="242C2E"/>
          <w:sz w:val="28"/>
          <w:szCs w:val="28"/>
          <w:shd w:val="clear" w:color="auto" w:fill="FFFFFF"/>
          <w:lang w:eastAsia="ru-RU"/>
        </w:rPr>
      </w:pPr>
      <w:r w:rsidRPr="001A3297">
        <w:rPr>
          <w:rFonts w:ascii="Times New Roman" w:eastAsia="Times New Roman" w:hAnsi="Times New Roman" w:cs="Times New Roman"/>
          <w:iCs/>
          <w:color w:val="242C2E"/>
          <w:sz w:val="28"/>
          <w:szCs w:val="28"/>
          <w:shd w:val="clear" w:color="auto" w:fill="FFFFFF"/>
          <w:lang w:eastAsia="ru-RU"/>
        </w:rPr>
        <w:t xml:space="preserve">Материалы и пособия, </w:t>
      </w:r>
      <w:r>
        <w:rPr>
          <w:rFonts w:ascii="Times New Roman" w:eastAsia="Times New Roman" w:hAnsi="Times New Roman" w:cs="Times New Roman"/>
          <w:iCs/>
          <w:color w:val="242C2E"/>
          <w:sz w:val="28"/>
          <w:szCs w:val="28"/>
          <w:shd w:val="clear" w:color="auto" w:fill="FFFFFF"/>
          <w:lang w:eastAsia="ru-RU"/>
        </w:rPr>
        <w:t>предназначенные детям, доступны, функциональны,</w:t>
      </w:r>
      <w:r w:rsidRPr="001A3297">
        <w:rPr>
          <w:rFonts w:ascii="Times New Roman" w:eastAsia="Times New Roman" w:hAnsi="Times New Roman" w:cs="Times New Roman"/>
          <w:iCs/>
          <w:color w:val="242C2E"/>
          <w:sz w:val="28"/>
          <w:szCs w:val="28"/>
          <w:shd w:val="clear" w:color="auto" w:fill="FFFFFF"/>
          <w:lang w:eastAsia="ru-RU"/>
        </w:rPr>
        <w:t xml:space="preserve"> обеспечивают необходимые условия для самореализации. Во всех группах ДОУ оборудованы экологические уголки с разновидностями комнатных растений.</w:t>
      </w:r>
      <w:r>
        <w:rPr>
          <w:rFonts w:ascii="Times New Roman" w:eastAsia="Times New Roman" w:hAnsi="Times New Roman" w:cs="Times New Roman"/>
          <w:iCs/>
          <w:color w:val="242C2E"/>
          <w:sz w:val="28"/>
          <w:szCs w:val="28"/>
          <w:shd w:val="clear" w:color="auto" w:fill="FFFFFF"/>
          <w:lang w:eastAsia="ru-RU"/>
        </w:rPr>
        <w:t xml:space="preserve"> </w:t>
      </w:r>
      <w:r w:rsidRPr="001A3297">
        <w:rPr>
          <w:rFonts w:ascii="Times New Roman" w:eastAsia="Times New Roman" w:hAnsi="Times New Roman" w:cs="Times New Roman"/>
          <w:iCs/>
          <w:color w:val="242C2E"/>
          <w:sz w:val="28"/>
          <w:szCs w:val="28"/>
          <w:shd w:val="clear" w:color="auto" w:fill="FFFFFF"/>
          <w:lang w:eastAsia="ru-RU"/>
        </w:rPr>
        <w:t>Для развития экологической культуры используются иллюстрированный материал и наглядные пособия.</w:t>
      </w:r>
    </w:p>
    <w:p w:rsidR="00910B91" w:rsidRPr="00910B91" w:rsidRDefault="00910B91" w:rsidP="00910B9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i/>
          <w:color w:val="444444"/>
        </w:rPr>
      </w:pPr>
      <w:r w:rsidRPr="00910B91">
        <w:rPr>
          <w:rFonts w:ascii="Times New Roman" w:hAnsi="Times New Roman" w:cs="Times New Roman"/>
          <w:bCs w:val="0"/>
          <w:i/>
          <w:color w:val="444444"/>
        </w:rPr>
        <w:t>Информационные системы и информационно-телекоммуникационные системы</w:t>
      </w:r>
    </w:p>
    <w:p w:rsidR="00910B91" w:rsidRDefault="00910B91" w:rsidP="00910B9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Pr="00910B91">
        <w:rPr>
          <w:color w:val="444444"/>
          <w:sz w:val="28"/>
          <w:szCs w:val="28"/>
        </w:rPr>
        <w:t>В МБДОУ</w:t>
      </w:r>
      <w:r>
        <w:rPr>
          <w:color w:val="444444"/>
          <w:sz w:val="28"/>
          <w:szCs w:val="28"/>
        </w:rPr>
        <w:t xml:space="preserve"> ДС «Парус» г</w:t>
      </w:r>
      <w:proofErr w:type="gramStart"/>
      <w:r>
        <w:rPr>
          <w:color w:val="444444"/>
          <w:sz w:val="28"/>
          <w:szCs w:val="28"/>
        </w:rPr>
        <w:t>.В</w:t>
      </w:r>
      <w:proofErr w:type="gramEnd"/>
      <w:r>
        <w:rPr>
          <w:color w:val="444444"/>
          <w:sz w:val="28"/>
          <w:szCs w:val="28"/>
        </w:rPr>
        <w:t>олгодонска</w:t>
      </w:r>
      <w:r w:rsidRPr="00910B91">
        <w:rPr>
          <w:color w:val="444444"/>
          <w:sz w:val="28"/>
          <w:szCs w:val="28"/>
        </w:rPr>
        <w:t xml:space="preserve">, имеется компьютерная техника, </w:t>
      </w:r>
      <w:r>
        <w:rPr>
          <w:color w:val="444444"/>
          <w:sz w:val="28"/>
          <w:szCs w:val="28"/>
        </w:rPr>
        <w:t xml:space="preserve">пять  компьютера </w:t>
      </w:r>
      <w:r w:rsidRPr="00910B91">
        <w:rPr>
          <w:color w:val="444444"/>
          <w:sz w:val="28"/>
          <w:szCs w:val="28"/>
        </w:rPr>
        <w:t xml:space="preserve"> имеют доступ к сети интернет.</w:t>
      </w:r>
    </w:p>
    <w:p w:rsidR="00910B91" w:rsidRPr="00910B91" w:rsidRDefault="00910B91" w:rsidP="00910B9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910B91" w:rsidRPr="00910B91" w:rsidRDefault="00910B91" w:rsidP="00910B9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i/>
          <w:color w:val="444444"/>
        </w:rPr>
      </w:pPr>
      <w:r w:rsidRPr="00910B91">
        <w:rPr>
          <w:rFonts w:ascii="Times New Roman" w:hAnsi="Times New Roman" w:cs="Times New Roman"/>
          <w:bCs w:val="0"/>
          <w:i/>
          <w:color w:val="444444"/>
        </w:rPr>
        <w:t>Электронные образовательные ресурсы</w:t>
      </w:r>
    </w:p>
    <w:p w:rsidR="00910B91" w:rsidRPr="00910B91" w:rsidRDefault="00910B91" w:rsidP="00910B9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Pr="00910B91">
        <w:rPr>
          <w:color w:val="444444"/>
          <w:sz w:val="28"/>
          <w:szCs w:val="28"/>
        </w:rPr>
        <w:t xml:space="preserve">В МБДОУ </w:t>
      </w:r>
      <w:r>
        <w:rPr>
          <w:color w:val="444444"/>
          <w:sz w:val="28"/>
          <w:szCs w:val="28"/>
        </w:rPr>
        <w:t>ДС «Парус» г</w:t>
      </w:r>
      <w:proofErr w:type="gramStart"/>
      <w:r>
        <w:rPr>
          <w:color w:val="444444"/>
          <w:sz w:val="28"/>
          <w:szCs w:val="28"/>
        </w:rPr>
        <w:t>.В</w:t>
      </w:r>
      <w:proofErr w:type="gramEnd"/>
      <w:r>
        <w:rPr>
          <w:color w:val="444444"/>
          <w:sz w:val="28"/>
          <w:szCs w:val="28"/>
        </w:rPr>
        <w:t>олгодонска эл</w:t>
      </w:r>
      <w:r w:rsidRPr="00910B91">
        <w:rPr>
          <w:color w:val="444444"/>
          <w:sz w:val="28"/>
          <w:szCs w:val="28"/>
        </w:rPr>
        <w:t>ектронные образовательные ресурсы,</w:t>
      </w:r>
      <w:r>
        <w:rPr>
          <w:color w:val="444444"/>
          <w:sz w:val="28"/>
          <w:szCs w:val="28"/>
        </w:rPr>
        <w:t xml:space="preserve"> </w:t>
      </w:r>
      <w:r w:rsidRPr="00910B91">
        <w:rPr>
          <w:color w:val="444444"/>
          <w:sz w:val="28"/>
          <w:szCs w:val="28"/>
        </w:rPr>
        <w:t>к которым обеспечивается доступ воспитанников,</w:t>
      </w:r>
      <w:r>
        <w:rPr>
          <w:color w:val="444444"/>
          <w:sz w:val="28"/>
          <w:szCs w:val="28"/>
        </w:rPr>
        <w:t xml:space="preserve"> </w:t>
      </w:r>
      <w:r w:rsidRPr="00910B91">
        <w:rPr>
          <w:color w:val="444444"/>
          <w:sz w:val="28"/>
          <w:szCs w:val="28"/>
        </w:rPr>
        <w:t>отсутствуют</w:t>
      </w:r>
      <w:r>
        <w:rPr>
          <w:color w:val="444444"/>
          <w:sz w:val="28"/>
          <w:szCs w:val="28"/>
        </w:rPr>
        <w:t>.</w:t>
      </w:r>
    </w:p>
    <w:p w:rsidR="00191344" w:rsidRPr="00910B91" w:rsidRDefault="00191344" w:rsidP="0091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1344" w:rsidRPr="00910B91" w:rsidSect="0019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ACA"/>
    <w:multiLevelType w:val="multilevel"/>
    <w:tmpl w:val="DA12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47042"/>
    <w:multiLevelType w:val="multilevel"/>
    <w:tmpl w:val="EAFE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A65F2"/>
    <w:multiLevelType w:val="multilevel"/>
    <w:tmpl w:val="90E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4D"/>
    <w:rsid w:val="00166C92"/>
    <w:rsid w:val="00191344"/>
    <w:rsid w:val="001A3297"/>
    <w:rsid w:val="004159A9"/>
    <w:rsid w:val="0043134D"/>
    <w:rsid w:val="004D2725"/>
    <w:rsid w:val="00647299"/>
    <w:rsid w:val="006D777D"/>
    <w:rsid w:val="00910B91"/>
    <w:rsid w:val="00D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4D"/>
  </w:style>
  <w:style w:type="paragraph" w:styleId="1">
    <w:name w:val="heading 1"/>
    <w:basedOn w:val="a"/>
    <w:next w:val="a"/>
    <w:link w:val="10"/>
    <w:uiPriority w:val="9"/>
    <w:qFormat/>
    <w:rsid w:val="00910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3134D"/>
  </w:style>
  <w:style w:type="paragraph" w:styleId="a3">
    <w:name w:val="Normal (Web)"/>
    <w:basedOn w:val="a"/>
    <w:uiPriority w:val="99"/>
    <w:semiHidden/>
    <w:unhideWhenUsed/>
    <w:rsid w:val="0043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2016-07-19T16:43:00Z</dcterms:created>
  <dcterms:modified xsi:type="dcterms:W3CDTF">2016-07-19T17:06:00Z</dcterms:modified>
</cp:coreProperties>
</file>